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330 vom 2. November 2023</w:t>
      </w:r>
    </w:p>
    <w:p>
      <w:r>
        <w:t>FR Kantonsgericht, 2023-11-02, FR</w:t>
      </w:r>
    </w:p>
    <w:p>
      <w:r>
        <w:rPr>
          <w:b/>
        </w:rPr>
        <w:t xml:space="preserve">Quelle: </w:t>
      </w:r>
      <w:r>
        <w:t>https://mcp.opencaselaw.ch/entscheid/fr_gerichte_101 2023 330</w:t>
      </w:r>
    </w:p>
    <w:p>
      <w:r>
        <w:t>FR: FR_GERICHTE 101 2023 330 du 2 novembre 2023</w:t>
      </w:r>
    </w:p>
    <w:p>
      <w:r>
        <w:t>IT: FR_GERICHTE 101 2023 330 del 2 novembre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 en procédure sommaire - qui régit notamment les mesures provisionnelles (art. 248 let. d CPC) - est de 10 jours (art. 314 al. 1 CPC). En l'espèce, la décision attaquée a été notifiée au mandataire de l’appelante le 24 août 2023 (DO IV/123). Déposé le lundi 4 septembre 2023, premier jour ouvrable suivant l’échéance du délai (art. 142 al. 3 CPC), l’appel a dès lors été interjeté en temps utile. Le mémoire est, de plus, dûment motivé et doté de conclusions. En outre, au vu du montant de la baisse des pensions requise en première instance par le mari et contestée par l’épouse, soit une baisse de CHF 200.- pour C.________ (CHF 850.- - CHF 650.-) et CHF 1'200.- pour D.________ (CHF 1'850.- - CHF 650.-) du 1er février 2022 au 30 septembre 2022, et de CHF 400.- pour C.________ (CHF 850.- - CHF 450.- ) et CHF 1'400.- pour D.________ (CHF 1'850.- - CHF 450.-) dès le 1er octobre 2022, la valeur litigieuse est manifestement supérieure à CHF 10'000.- (cf. art. 92 CPC). Il s’ensuit la recevabilité de l’appel.</w:t>
      </w:r>
    </w:p>
    <w:p>
      <w:r>
        <w:rPr>
          <w:b/>
        </w:rPr>
        <w:t>E. 1.2</w:t>
      </w:r>
    </w:p>
    <w:p>
      <w:r>
        <w:t>La procédure sommaire (art. 252 ss CPC) s'applique aux causes de mesures provisionnelles requises dans le cadre d'un divorce (art. 271, 276 al. 1 et 286 al. 3 CPC), le tribunal établissant toutefois les faits d'office (maxime inquisitoire, art. 272 et 296 al. 1 CPC) et, s’agissant des questions concernant les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w:t>
      </w:r>
    </w:p>
    <w:p>
      <w:r>
        <w:rPr>
          <w:b/>
        </w:rPr>
        <w:t>E. 1.5</w:t>
      </w:r>
    </w:p>
    <w:p>
      <w:r>
        <w:t>Selon l'art. 316 al. 1 CPC, la Cour d'appel peut ordonner des débats ou statuer sur pièces. En l'espèce, vu l'objet de l'appel et le fait que toutes les informations utiles à son traitement figurent au dossier, il n'est pas nécessaire d'assigner les parties à une audience.</w:t>
      </w:r>
    </w:p>
    <w:p>
      <w:r>
        <w:t>Tribunal cantonal TC Page 4 de 8</w:t>
      </w:r>
    </w:p>
    <w:p>
      <w:r>
        <w:rPr>
          <w:b/>
        </w:rPr>
        <w:t>E. 1.6</w:t>
      </w:r>
    </w:p>
    <w:p>
      <w:r>
        <w:t>La voie de droit au Tribunal fédéral se détermine, en matière pécuniaire, en fonction de la valeur litigieuse. Il s’agit du recours en matière civile si la valeur litigieuse est d’au moins CHF 30'000.- (art. 72 ss LTF) ou du recours constitutionnel subsidiaire dans les autres cas (art. 113 ss LTF). En l’espèce, le montant de la baisse des pensions arrêtée par la Présidente n’est pas litigieux en appel ; seul le dies a quo de la modification des pensions est contesté par l’appelante, qui requiert que dite modification soit repoussée du 1er février 2022 au 1er octobre 2022. La baisse des contributions arrêtée durant la période du 1er février 2022 au 30 septembre 2022 se montant à CHF 200.- pour C.________ (CHF 850.- - CHF 650.-) et CHF 300.- pour D.________ (CHF 1'850.- - CHF 1'550.- ), soit à CHF 500.- par mois sur 8 mois, ce qui équivaut à CHF 4'000.-, la valeur litigieuse pour un recours au Tribunal fédéral est largement inférieure à CHF 30'000.- (art. 51 al. 1 let. a LTF). Partant, seule la voie du recours constitutionnel subsidiaire est ouverte (art. 113 ss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w:t>
      </w:r>
    </w:p>
    <w:p>
      <w:r>
        <w:rPr>
          <w:b/>
        </w:rPr>
        <w:t>E. 2.2</w:t>
      </w:r>
    </w:p>
    <w:p>
      <w:r>
        <w:t>En l’espèce, la Présidente a considéré que la mise en place d’une garde alternée sur les enfants C.________ et D.________ à compter du 1er février 2022 justifiait à elle seule le principe d’une modification des mesures provisionnelles et, partant, le réexamen complet de la situation des parties (décision attaquée, p. 5 s., ch. 18 s.). Ce point n’est pas contesté en appel.</w:t>
      </w:r>
    </w:p>
    <w:p>
      <w:r>
        <w:rPr>
          <w:b/>
        </w:rPr>
        <w:t>E. 3.1</w:t>
      </w:r>
    </w:p>
    <w:p>
      <w:r>
        <w:t>De jurisprudence constante, la décision de modification de mesures protectrices de l'union conjugale ou de mesures provisoires ne déploie en principe ses effets que pour le futur, l'ancienne réglementation restant valable jusqu'à l'entrée en force formelle du nouveau prononcé. En matière de contributions d'entretien, la modification peut aussi prendre effet, au plus tôt, au moment du dépôt de la requête,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w:t>
      </w:r>
    </w:p>
    <w:p>
      <w:r>
        <w:t>Tribunal cantonal TC Page 5 de 8 faire remonter l'effet de la modification à une date ultérieure. Selon les circonstances, le juge peut toutefois retenir, même dans ce cas, une date postérieure au dépôt de la requête, notamment lorsque la restitution des contributions accordées et utilisées pendant la durée de la procédure ne peut équitablement être exigée. En revanche, seuls des motifs très particuliers peuvent justifier une rétroactivité au-delà de la date du dépôt de la requête, par exemple un lieu de séjour inconnu ou une absence du pays du débiteur de la contribution d'entretien, le comportement contraire à la bonne foi d'une partie ou encore une maladie grave du créancier de la contribution d'entretien (arrêt TF 5A_505/2021 du 29 août 2022 consid. 6.2.4 et les références citées ; arrêts TC FR 101 2020 120 du 30 novembre 2020 consid. 3.5 ; 101 2017 357 du 8 janvier 2018 consid. 2.4 et les références citées).</w:t>
      </w:r>
    </w:p>
    <w:p>
      <w:r>
        <w:rPr>
          <w:b/>
        </w:rPr>
        <w:t>E. 3.2.1</w:t>
      </w:r>
    </w:p>
    <w:p>
      <w:r>
        <w:t>L’appelante reproche à la première juge d’avoir abusé de son pouvoir d’appréciation en arrêtant la date de la baisse des pensions en faveur de C.________ et D.________ au 1er février 2022, date de la mise en place de la garde alternée, alors que la requête de modification des mesures provisionnelles a été déposée le 23 septembre 2022 seulement. Elle soutient qu’il n’existe pas de circonstances exceptionnelles au sens de la jurisprudence qui justifieraient de retenir une date antérieure au dépôt de la requête du 23 septembre 2022. Selon elle, le fait que l’époux a tardé à demander une baisse des pensions malgré la mise en place d’une garde alternée dès le 1er février 2022 ne justifie pas de déroger à la règle selon laquelle la modification des pensions doit prendre effet au plus tôt au jour du dépôt de la requête (appel, p. 7 s.).</w:t>
      </w:r>
    </w:p>
    <w:p>
      <w:r>
        <w:rPr>
          <w:b/>
        </w:rPr>
        <w:t>E. 3.2.2</w:t>
      </w:r>
    </w:p>
    <w:p>
      <w:r>
        <w:t>L’intimé à l’appel estime pour sa part que c’est à juste titre que la Présidente a fait partir la baisse des pensions à la date de la mise en place de la garde alternée, circonstance justifiant à elle seule le principe d’une modification. Il oppose en outre que l’attitude procédurale adoptée par l’appelante s’agissant du montant des frais de garde aurait même pu justifier de faire intervenir la baisse des pensions avant le 1er février 2022. En effet, l’appelante s’est longtemps abstenue de l’informer sur le coût réel des frais de garde des enfants et de produire les pièces utiles pour les justifier ; finalement, au vu des frais de garde qui ont pu être établis dans la décision attaquée, il a versé durant plusieurs années des montants largement supérieurs au montant servant à couvrir l’entretien convenable des enfants (réponse, p. 2 s.).</w:t>
      </w:r>
    </w:p>
    <w:p>
      <w:r>
        <w:rPr>
          <w:b/>
        </w:rPr>
        <w:t>E. 3.3.1</w:t>
      </w:r>
    </w:p>
    <w:p>
      <w:r>
        <w:t>En l’occurrence, le motif principal à la base de la modification des contributions d’entretien est la mise en place d’une garde alternée dès le 1er février 2022 selon accord des parties. La première juge semble s’être basée exclusivement sur cet élément pour accorder l’effet rétroactif à la même date à la modification des contributions d’entretien, comme demandé par le mari. Cela étant, force est de constater, avec l’appelante, qu’il n’existe en l’espèce aucun motif très particulier au sens de la jurisprudence qui justifierait de déroger au principe clair posé par le Tribunal fédéral, selon lequel une décision de modification peut rétroagir tout au plus au jour du dépôt de la requête, pour autant que le motif de modification fût déjà donné à cette date. Alors que les parties avaient convenu le 21 janvier 2022, via une convention partielle de divorce, de mettre en place une garde alternée sur les enfants C.________ et D.________, sans toutefois parvenir à un accord sur les contributions d’entretien (cf. PV de la séance du 21 janvier 2022, p. 2 ss, DO III/27 s.), l’époux a attendu le 23 septembre 2022, soit pas moins de huit mois, pour demander une baisse des pensions fondée essentiellement sur l’instauration de ce nouveau mode de garde. Le fait que, dans l’intervalle, il « espérait pouvoir régler à l’amiable la modification des contributions d’entretien rendue nécessaire par la situation » (cf. requête du 23 septembre 2023, p. 3, ch. 8, DO III/74), n’est pas suffisant pour</w:t>
      </w:r>
    </w:p>
    <w:p>
      <w:r>
        <w:t>Tribunal cantonal TC Page 6 de 8 octroyer un effet rétroactif à la modification. Il est en effet fréquent que le dépôt d'une requête de modification des mesures protectrices de l'union conjugale ou des mesures provisionnelles soit précédé de pourparlers. Ceux-ci ne sauraient par conséquent constituer un motif très spécial pouvant justifier une rétroactivité de la modification au-delà du dépôt de la requête, ce d'autant plus qu'ils sont la plupart du temps censés rester secrets en vertu de la législation sur la profession d'avocat (cf. notamment art. 26 du Code suisse de déontologie). C’est par ailleurs le propre des pourparlers transactionnels que d’impliquer pour chaque partie des concessions réciproques et il va de soi que si aucun accord ne peut en définitive être trouvé, chaque partie retrouve ses droits (cf. arrêt TC FR 101 2022 159 du 4 novembre 2022 consid. 3.4).</w:t>
      </w:r>
    </w:p>
    <w:p>
      <w:r>
        <w:rPr>
          <w:b/>
        </w:rPr>
        <w:t>E. 3.3.2</w:t>
      </w:r>
    </w:p>
    <w:p>
      <w:r>
        <w:t>Dans la mesure où l’instauration d’une garde alternée selon accord des parties justifiait à elle seule l’admission du principe d’une modification des contributions et où l’époux a lui-même demandé l’effet rétroactif au 1er du mois suivant la mise en place de la garde alternée, exprimant ainsi qu’il s’agissait pour lui du moment déterminant pour modifier les pensions, il ne saurait se prévaloir du fait que son épouse aurait tardé à produire les pièces relatives aux frais de prise en charge des enfants par des tiers pour tenter d’excuser le dépôt tardif de sa requête de modification. Au demeurant, l’épouse a produit le 24 février 2021 les factures de l’accueil extrascolaire pour les mois de septembre et octobre 2020 (bordereau du 24 février 2021, pièce 18), ce dont le mari s’est visiblement contenté dès lors qu’il a ensuite signé une convention de mesures provisionnelles le 26 février 2021 maintenant les pensions fixées dans la décision de mesures protectrices de l’union conjugale du 3 septembre 2019, les pensions étant toutefois réduites de CHF 250.- par enfant et par mois tant que les frais de prise en charge par des tiers seraient inférieurs à CHF 200.- par mois en totalité (cf. PV de la séance du 26 février 2021, p. 9, DO I/73). De plus, l’épouse a produit les factures relatives à l’accueil extrascolaire des enfants pour la période de septembre 2020 à janvier 2022 le 7 mars 2022 (bordereau du 7 mars 2022, pièce 5), soit dans le délai imparti pour ce faire (cf. PV de la séance du 21 janvier 2022, p. 8, DO III/30), et, bien que l’époux estime que ces factures, qui lui ont été transmises directement par l’épouse le 7 mars 2022 (cf. DO III/53), « attestent de ce que les frais de garde sont bien inférieurs à ceux retenus dans la décision de mesures protectrices de l’union conjugale » (cf. requête du 23 septembre 2022, p. 2, ch. 4 s., DO III/73), cela ne l’a pourtant pas incité à déposer immédiatement une requête en modification des contributions d’entretien.</w:t>
      </w:r>
    </w:p>
    <w:p>
      <w:r>
        <w:rPr>
          <w:b/>
        </w:rPr>
        <w:t>E. 3.3.3</w:t>
      </w:r>
    </w:p>
    <w:p>
      <w:r>
        <w:t>Étant donné que le motif principal à la base de la modification des pensions, à savoir l’instauration d’une garde alternée, existait déjà au moment du dépôt de la requête du 23 septembre 2022, il se justifie de faire partir la modification des contributions, par souci de simplification et comme demandé par l’appelante, au 1er octobre 2022.</w:t>
      </w:r>
    </w:p>
    <w:p>
      <w:r>
        <w:rPr>
          <w:b/>
        </w:rPr>
        <w:t>E. 3.4</w:t>
      </w:r>
    </w:p>
    <w:p>
      <w:r>
        <w:t>Le bien-fondé du grief conduit à l’admission de l’appel et à la modification de la décision attaquée dans le sens évoqué.</w:t>
      </w:r>
    </w:p>
    <w:p>
      <w:r>
        <w:rPr>
          <w:b/>
        </w:rPr>
        <w:t>E. 4.1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étant admis, les frais de la procédure d’appel doivent être mis à la charge de l’intimé à l’appel qui succombe, sous réserve de l’assistance judiciaire.</w:t>
      </w:r>
    </w:p>
    <w:p>
      <w:r>
        <w:t>Tribunal cantonal TC Page 7 de 8</w:t>
      </w:r>
    </w:p>
    <w:p>
      <w:r>
        <w:rPr>
          <w:b/>
        </w:rPr>
        <w:t>E. 4.2</w:t>
      </w:r>
    </w:p>
    <w:p>
      <w:r>
        <w:t>Les frais judiciaires pour l’appel sont fixés forfaitairement à CHF 600.- (art. 95 al. 2 let. b CPC ; art. 124 LJ ; art. 10 s. et 19 RJ).</w:t>
      </w:r>
    </w:p>
    <w:p>
      <w:r>
        <w:rPr>
          <w:b/>
        </w:rPr>
        <w:t>E. 4.3</w:t>
      </w:r>
    </w:p>
    <w:p>
      <w:r>
        <w:t>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arrêtés globalement à la somme de CHF 1'000.-, débours compris, plus la TVA par CHF 77.- (7.7% de CHF 1'000.-). Conformément à la jurisprudence du Tribunal fédéral, le montant des dépens est dû directement au défenseur d’office de A.________ (arrêt TF 4A_106/2021 du 8 août 2022 consid. 3.4).</w:t>
      </w:r>
    </w:p>
    <w:p>
      <w:r>
        <w:rPr>
          <w:b/>
        </w:rPr>
        <w:t>E. 4.4</w:t>
      </w:r>
    </w:p>
    <w:p>
      <w:r>
        <w:t>La décision attaquée n'étant pas finale, c'est à juste titre que les frais y relatifs ont été réservés (art. 104 al. 3 CPC) ; il n'y a donc pas lieu de faire application de l'art. 318 al. 3 CPC. la Cour arrête : I. L’appel est admis. Partant, le chiffre 2 du dispositif de la décision prononcée le 22 août 2023 par la Présidente du Tribunal civil de la Gruyère est modifié pour prendre la teneur suivante : 2. Partant, le chiffre V du jugement de mesures protectrices de l'union conjugale du 3 septembre 2019 est modifié comme suit : " Pour C.________ : a) CHF 650.- du 1er octobre au 31 décembre 2022 ; b) CHF 330.- du 1er au 31 janvier 2023 ; c) CHF 650.- dès le 1er février 2023. Pour D.________ : a) CHF 1'550.- du 1er octobre au 30 novembre 2022 ; b) CHF 1'650.- du 1er au 31 décembre 2022 ; c) CHF 360.- du 1er au 31 janvier 2023 ; d) CHF 1'550.- dès le 1er février 2023. La moitié des allocations familiales est conservée par B.________, le solde étant dû en sus des pensions arrêtées ci-dessus. "</w:t>
      </w:r>
    </w:p>
    <w:p>
      <w:r>
        <w:t>Tribunal cantonal TC Page 8 de 8 II. Les frais de la procédure d’appel sont mis à la charge de B.________, sous réserve de l’assistance judiciaire. Les frais judiciaires dus à l’État sont fixés à CHF 600.-. B.________ est reconnu devoir à Me Mathieu Azizi, à titre de dépens pour l’appel, un montant de CHF 1'000.-, débours compris, mais TVA en sus par CHF 77.-.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novembre 2023/pvo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